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VBR Network</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rPr>
          <w:rFonts w:ascii="Arial" w:hAnsi="Arial" w:cs="Arial" w:eastAsia="Arial"/>
          <w:i/>
          <w:color w:val="auto"/>
          <w:spacing w:val="0"/>
          <w:position w:val="0"/>
          <w:sz w:val="22"/>
          <w:shd w:fill="auto" w:val="clear"/>
        </w:rPr>
        <w:t xml:space="preserve">Inventing Freedom</w:t>
      </w:r>
      <w:r>
        <w:rPr>
          <w:rFonts w:ascii="Arial" w:hAnsi="Arial" w:cs="Arial" w:eastAsia="Arial"/>
          <w:color w:val="auto"/>
          <w:spacing w:val="0"/>
          <w:position w:val="0"/>
          <w:sz w:val="22"/>
          <w:shd w:fill="auto" w:val="clear"/>
        </w:rPr>
        <w:t xml:space="preserv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Whitepaper</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      Introduction/Preface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72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Legal Disclaimer</w:t>
      </w:r>
    </w:p>
    <w:p>
      <w:pPr>
        <w:spacing w:before="0" w:after="0" w:line="276"/>
        <w:ind w:right="0" w:left="72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Market Analysis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Brief introduction of our community</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      The concept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Brief introduction of concept development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Bringing transparency to a higher level</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III.     VBR platform</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Structure of the marketplace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Implementing secure, fast payments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Offline wallet storage, to ensure safety (Cold wallets)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IV.    VBR Financials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Tokenomic model</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Financial forecast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**roadmap</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V.      The team behind the project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Presentation of the founding team</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Presentation of the core team and partners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108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 Introduction/Preface</w:t>
      </w:r>
    </w:p>
    <w:p>
      <w:pPr>
        <w:spacing w:before="0" w:after="0" w:line="276"/>
        <w:ind w:right="0" w:left="108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1. Legal Disclaimer</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By participating in the VBRINC Pre-sale and/or ICO Token Crowdsale or making use of any information in the associated Whitepaper available on the wordpress.vbrinc.ro website, you agree to the following:</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GENERAL DISCLAIMER</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Through the services provided by VBRINC, you (the user) as either an ICO (Initial Coin Offering) holder and/or (Pre-sale and/or ICO or Crowdsale) participant, fully understand and agree with the following:</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Acknowledgment that VBRINC tokens will be provided by the Presale and/or ICO smart contract in the order that transactions are received and that no alteration can be made by either party.</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VBRINC carries no legal responsibility for the ability or lack thereof to take part in the Pre-sale and/or ICO for reasons beyond the control of VBRINC including, but not limited to, the Pre-sale and/or ICO duration, transaction mining delays and node-related issues.</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Upon a successful Pre-sale and/or ICO, VBRINC team members will focus on completing the company start-up and delivering on aforementioned milestones. VBRINC undertakes no obligations to act on behalf of and in the interests of the user in the Pre-sale and/or ICO being held in the future.</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The user is fully responsible for the security of his wallets, addresses, public, private keys and other information provided on the VBRINC platform. VBRINC will not be held responsible for any loss or misuse of these credentials that might result in a direct or indirect loss of tokens.</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By transferring assets to VBRINC, the user makes the final decision on deposition of cash and/or other assets and has no right to a refund, except the one provided by the Pre-sale and/or ICO smart contract code itself (100% refund when capital raised is under the minimum cap and the Pre-sale and/or ICO/crowdsale period has expired).</w:t>
        <w:tab/>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TAX WARNING</w:t>
      </w:r>
      <w:r>
        <w:rPr>
          <w:rFonts w:ascii="Arial" w:hAnsi="Arial" w:cs="Arial" w:eastAsia="Arial"/>
          <w:color w:val="auto"/>
          <w:spacing w:val="0"/>
          <w:position w:val="0"/>
          <w:sz w:val="22"/>
          <w:shd w:fill="auto" w:val="clear"/>
        </w:rPr>
        <w:t xml:space="preserve">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User understands that VBRINC does not act as a tax agent; Both the user and VBRINC fulfill their tax obligations under the applicable laws of the country and location they reside in. VBRINC is not a tax agent and/or authority and therefore shall not provide the users' financial information to any third parties. None of the users' information shall be disclosed unless officially requested by government authorities.</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 WARRANTIES</w:t>
      </w:r>
      <w:r>
        <w:rPr>
          <w:rFonts w:ascii="Arial" w:hAnsi="Arial" w:cs="Arial" w:eastAsia="Arial"/>
          <w:color w:val="auto"/>
          <w:spacing w:val="0"/>
          <w:position w:val="0"/>
          <w:sz w:val="22"/>
          <w:shd w:fill="auto" w:val="clear"/>
        </w:rPr>
        <w:t xml:space="preserve">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All of the information provided within the Whitepaper available on wordpress.vbrinc.ro is provided with no warranties. </w:t>
      </w:r>
      <w:r>
        <w:rPr>
          <w:rFonts w:ascii="Arial" w:hAnsi="Arial" w:cs="Arial" w:eastAsia="Arial"/>
          <w:color w:val="auto"/>
          <w:spacing w:val="0"/>
          <w:position w:val="0"/>
          <w:sz w:val="22"/>
          <w:shd w:fill="CC0000" w:val="clear"/>
        </w:rPr>
        <w:t xml:space="preserve">No express or implied warranties of any type, including implied warranties of merchantability or fitness for any particular purpose, are made with respect to the information, or any use of the information, on this site or platform</w:t>
      </w:r>
      <w:r>
        <w:rPr>
          <w:rFonts w:ascii="Arial" w:hAnsi="Arial" w:cs="Arial" w:eastAsia="Arial"/>
          <w:color w:val="auto"/>
          <w:spacing w:val="0"/>
          <w:position w:val="0"/>
          <w:sz w:val="22"/>
          <w:shd w:fill="auto" w:val="clear"/>
        </w:rPr>
        <w:t xml:space="preserve">. VBRINC makes no representations and extends no warranties of any type as to the accuracy or completeness of any information or content in the Whitepaper or website.</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DISCLAIMER OF LIABILITY</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VBRINC specifically denies liability for incidental or consequential damages and assumes no responsibility or liability for any loss or damage suffered by anyone as a result of the use or misuse of any of the information or content in this Whitepaper or on the wordpress.vbrinc.ro website, or that of any entity impersonating VBRINC. VBRINC assumes no liability for any loss or damage suffered as a result of the use, misuse or reliance on the information and content in the Whitepaper or on the wordpress.vbrinc.ro website. VBRINC shall never be liable to the user for any special, incidental, consequential or punitive damages (including lost revenues or profits and failure to gain expected savings arising from any claim relating to the services provided by VBRINC) whether such claim is based on warranty, contract, negligence, liability or likelihood of the same.</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USE AT YOUR OWN RISK</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By using the Pre-sale and/or ICO smart contract, the VBRINC platform or wordpress.vbrinc.ro website including, but not limited to, the transferring of assets to VBRINC, the user confirms that he undertakes and understands all the possible risks that may directly or indirectly arise due to  the activity connected with the user’s participation in the Pre-sale and/or ICO and/or use of VBRINC services and products.</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FORCE-MAJEURE</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user understands that VBRINC will not be liable for any breach hereunder, including for failure to deliver or delays in delivery of the Services occasioned by causes beyond the control of VBRINC including but not limited to:</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strikes, labor slowdowns and stoppages, labor shortages</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lockouts, fires, floods, earthquakes, storms, droughts, adverse weather,</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riots, thefts, accidents, calamities, embargoes, war (whether or not declared) or any other outbreak of hostilities, civil strife, acts of God et cetera.</w:t>
      </w:r>
    </w:p>
    <w:p>
      <w:pPr>
        <w:spacing w:before="0" w:after="160" w:line="276"/>
        <w:ind w:right="0" w:left="0" w:firstLine="0"/>
        <w:jc w:val="center"/>
        <w:rPr>
          <w:rFonts w:ascii="Arial" w:hAnsi="Arial" w:cs="Arial" w:eastAsia="Aria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acts of governments, governmental acts or regulations, orders or injunctions, or other reasons, whether similar or dissimilar to the foregoing (each a </w:t>
      </w: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Force Majeure Event</w:t>
      </w:r>
      <w:r>
        <w:rPr>
          <w:rFonts w:ascii="Segoe UI Symbol" w:hAnsi="Segoe UI Symbol" w:cs="Segoe UI Symbol" w:eastAsia="Segoe UI Symbo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FINAL WARNING</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Pre-sale and/or ICO participation can be can be considered High-Risk Trading; purchasing financial instruments via a Pre-sale and/or ICO or utilizing services offered on the website may result in significant losses or even in a total loss of all funds invested. No information provided on VBRINC’s platform or website should be interpreted as investment advice. It does not constitute an offer or invitation by VBRINC to any user to buy or to sell tokens or make any investment. The user guarantees that he is a legally capable person, </w:t>
      </w:r>
      <w:r>
        <w:rPr>
          <w:rFonts w:ascii="Arial" w:hAnsi="Arial" w:cs="Arial" w:eastAsia="Arial"/>
          <w:color w:val="222222"/>
          <w:spacing w:val="0"/>
          <w:position w:val="0"/>
          <w:sz w:val="22"/>
          <w:shd w:fill="FFFFFF" w:val="clear"/>
        </w:rPr>
        <w:t xml:space="preserve">has attained the age of majority</w:t>
      </w:r>
      <w:r>
        <w:rPr>
          <w:rFonts w:ascii="Arial" w:hAnsi="Arial" w:cs="Arial" w:eastAsia="Arial"/>
          <w:color w:val="auto"/>
          <w:spacing w:val="0"/>
          <w:position w:val="0"/>
          <w:sz w:val="22"/>
          <w:shd w:fill="auto" w:val="clear"/>
        </w:rPr>
        <w:t xml:space="preserve"> and complies with legal rules and applicable laws of the jurisdiction where the user lives or currently resides. By participating in the Pre-sale and/or ICO the user confirms that he has read, understood and agrees to comply with all restrictions set forth above.</w: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Market Analysis</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At the moment, most freelancing platforms are plagued by poor community service, scammers, delays that cannot be checked and a general lack of transparency.VBRinc aims to change that.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speak, several distinct negative feedbacks are being provided to freelancing websites by users that are not feeling comfortable with their services. The main issue here is focusing more on the business side, regarding the firm’s own profit on a short term, instead of allowing the community to feel comfortable and secure, inevitably referring friends to the platform, making it thus suitable for mass adoption.</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Decentralization and transparency are the main goals of the concept, along with securing every iota of data or any transaction pertaining to the platform. The cold wallets are going to be stored internally, on offline servers, highly secured, using cryptographic proof for encryption.</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Network is creating a decentralized marketplace, for freelancers and customers worldwide, hoping to resolve all payment, mediation and safety issues through an ecosystem based on blockchain technology.</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intend to develop this platform, so that communities all over the world shall be able to use it with ease, and to provide them with the transparency they deserve.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website will be structured in two main parts: the marketplace which includes the chat tool and many others, and an exchange platform that will facilitate fast exchanges, with lower fees or even 0 fees, from fiat/crypto, crypto/fiat, crypto/crypto.</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mediation process will be handled by smart contracts, without any third party involved, and the terms are going to be voted upon by the community, based on the options available, according to legal regulations, at a global level.</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Network is developed in such a manner as to positively impact any type of user we may encounter. Therefore, the smart contracts are going to be created through an online form, which will trigger the backend codes, thus creating the digital, secured agreement between both parties.</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***current blockchain solutions and their shortcomings</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 Brief introduction to our community</w:t>
      </w:r>
    </w:p>
    <w:p>
      <w:pPr>
        <w:spacing w:before="0" w:after="240" w:line="276"/>
        <w:ind w:right="0" w:left="0" w:firstLine="0"/>
        <w:jc w:val="center"/>
        <w:rPr>
          <w:rFonts w:ascii="Arial" w:hAnsi="Arial" w:cs="Arial" w:eastAsia="Arial"/>
          <w:color w:val="auto"/>
          <w:spacing w:val="0"/>
          <w:position w:val="0"/>
          <w:sz w:val="22"/>
          <w:shd w:fill="auto" w:val="clear"/>
        </w:rPr>
      </w:pP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main goal of VBR is to bring the freelancing concept back to its origins, breaking the barriers between people, allowing a real peer-to-peer interaction.</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Community will experience 100% transparency, professionalism and quality services, provided by verified freelancers, the freedom to vote whether to update the platform or not (terms of service, tools, functionalities, etc.), and the possibility to interact with different people all over the world, increasing the network of each participant.</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aim to create an ideal environment, which the VBR community can shape as they feel is needed for them to easily use the product we provide them with.</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Everyone has their own style of working, and adhering to it helps you maximize your output. We aim to create the most frictionless work environment possible by shaping the terms and conditions to your own modus operandi.</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II. The concept  </w: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 Brief introduction of concept development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few members of our team were very often in touch with service providers or freelancers, for diverse types of situations. As we had a long collaboration with these types of people/websites/service providers, we were able to gather feedback, not only based on our experiences, but also based on those of other people.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At its’ origin, the freelancing concept was developed to make it easier for all the users to get in touch, set some terms, and make the payment/service - product exchange. This was meant to be a peer-to-peer concept, but it was transformed by big companies into the same difficult and bureaucratic process.</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thought that it is time for the freelancers’ world to see a significant improvement regarding the values the users keep looking for.</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Network is creating the perfect marketplace, with all the improvements mentioned based on blockchain technology, so it can be given back to the community, bringing the peer-to-peer concept of freelancing back to its’ rightful definition.</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Bringing transparency to a higher level</w:t>
      </w:r>
    </w:p>
    <w:p>
      <w:pPr>
        <w:spacing w:before="0" w:after="0" w:line="276"/>
        <w:ind w:right="0" w:left="720" w:firstLine="0"/>
        <w:jc w:val="center"/>
        <w:rPr>
          <w:rFonts w:ascii="Arial" w:hAnsi="Arial" w:cs="Arial" w:eastAsia="Arial"/>
          <w:color w:val="auto"/>
          <w:spacing w:val="0"/>
          <w:position w:val="0"/>
          <w:sz w:val="22"/>
          <w:shd w:fill="auto" w:val="clear"/>
        </w:rPr>
      </w:pP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One of the biggest issues with all platforms or services, especially the ones where third-party mediation is included, was always the amount of transparency and honesty the users were treated with. There were multiple complaints directed at a lot of platforms and/or service providers regarding the unfair mediation of a dispute, citing a lack of transparency, or even situations where the truth was intentionally being withheld.</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Network will bring honesty and transparency to a new level, encouraging the users of the platform to take ownership of the concept of freelancing, and shape it as they will see fit.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and foremost, there will be no more third party mediation, as all of the decisions are going to be made by the algorithm behind the smart contracts. Smart contracts are going to be built based on our terms of service, which will also be voted on by the community first, in order to provide a safe and comfortable environment, that the community agreed upon by voting on our terms of service proposals. In this manner, there will be no more controversies regarding the decisions made when evaluating/mediating a task/dispute.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of all, we will leave our customers the possibility to trace the progress of the task they’ve assigned to the freelancer, in real time, but without the risk of disclosing his work/methods, etc. VBR Network will create an encrypted cloud within our platform, on the decentralized server, called VBR Workspace. This cloud will have an export link, like dropbox. Whenever freelancers are starting a project for a customer, they will type our cloud link in the “Export” field, instead of copying it in a directory from their own computer. This way, we will be able to store the files containing encrypted information, on our platform, but with the possibility of accessing the size of the files. With this information at hand, our algorithm will be able to compare the size of the file that the freelancer is currently working on, with the size of another file, from our library, which matches the description provided by the customer.</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example, if a customer is requesting an e-commerce mobile app, then the algorithm will take the information of an API from our library. This API, which belongs to an app with the same specifications as the one from the requester (e-commerce in this instance) will be compared to the one from the freelancer’s workspace, from a size point of view, in order to only determine the progress of the freelancer, based on an already existing product.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moving forward, we’ve reached the mediation part, where we will explain the structure we’ve thought of.</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VBR Network will cover many fields of freelancing domains, like developing, graphics, web design, business/legal consultancy, etc, we will need to have clear and fair terms of service, which allow the smart contracts to make a decision, in case of a dispute that might be very interpretable. Therefore, as mentioned above, the community will vote on our proposals for the terms of service, depending on what they think will suit them most.</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Every time a freelancer finishes a job, our algorithm will run a quality check on the work performed, at a basic level, to determine if there are any errors/mistakes/mismatches. After this, the customer will be able to evaluate the service on his own as well, but only according to our terms of service (please find terms of service proposals at this link: https://).</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III. VBR Platform</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 Structure of the marketplace</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Have you ever wished you could eliminate the middleman withholding your project or your cash for some arbitrary reason? With VBR you can do just that.</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We support lightning-fast payments between both parties that use VBR tokens, thus improving your experience. In addition, the payouts in fiat also have lower SLAs than on other platforms.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Don’t worry about the integrity of the payments: in addition to the use of Cold Wallets, we use and additional layer of security, having the user match a transaction ID to the public keys in order to validate.</w:t>
      </w:r>
    </w:p>
    <w:p>
      <w:pPr>
        <w:spacing w:before="0" w:after="24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We call this algorithm proof-of-origin, and it will generate a transaction ID, linked to both public keys of the parts completing the payment, and will release the transaction only if the transaction ID matches both public keys of the users. Thus, we use SHA256 encryption in addition the tried and true blockchain security measures. </w:t>
      </w:r>
    </w:p>
    <w:p>
      <w:pPr>
        <w:spacing w:before="0" w:after="24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Several other tools will delight our users, including the smart contract tool, which basically creates the smart contract, based on a form filled and submitted by both parties, the transparency tool, which will allow customers to trace the progress of the freelancer in real time, based on the size of their work, or the thunderbolt wallet, making it  possible for our users to feel the real experience of lighting-speed money transfer. </w:t>
      </w:r>
    </w:p>
    <w:p>
      <w:pPr>
        <w:spacing w:before="0" w:after="24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Implementing secure, fast payments</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VBR Marketplace will support instant payments between customer and freelancer, with VBR Token, bringing the user experience to a higher level. Also, the payouts in fiat will have lower SLAs than the usual back to back process.</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Regarding the safety of the transactions, we will implement a new, additional security layer, which will ask the user to match a transaction ID, beside the private key and public key validation, or proof-of-work.</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call this algorithm proof-of-origin, and it will generate a transaction ID, linked to both private keys of the parts completing the payment, and will release the transaction only if the transaction ID matches both public keys of the users. </w:t>
      </w:r>
    </w:p>
    <w:p>
      <w:pPr>
        <w:spacing w:before="0" w:after="240" w:line="276"/>
        <w:ind w:right="0" w:left="0" w:firstLine="0"/>
        <w:jc w:val="center"/>
        <w:rPr>
          <w:rFonts w:ascii="Arial" w:hAnsi="Arial" w:cs="Arial" w:eastAsia="Arial"/>
          <w:color w:val="auto"/>
          <w:spacing w:val="0"/>
          <w:position w:val="0"/>
          <w:sz w:val="22"/>
          <w:shd w:fill="auto" w:val="clear"/>
        </w:rPr>
      </w:pPr>
      <w:r>
        <w:object w:dxaOrig="9091" w:dyaOrig="5102">
          <v:rect xmlns:o="urn:schemas-microsoft-com:office:office" xmlns:v="urn:schemas-microsoft-com:vml" id="rectole0000000000" style="width:454.550000pt;height:255.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4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object w:dxaOrig="8747" w:dyaOrig="4899">
          <v:rect xmlns:o="urn:schemas-microsoft-com:office:office" xmlns:v="urn:schemas-microsoft-com:vml" id="rectole0000000001" style="width:437.350000pt;height:244.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p>
    <w:p>
      <w:pPr>
        <w:spacing w:before="0" w:after="24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3. Cold Wallets</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VBR uses the proof-of-origin algorithm. This algorithm generates a transaction ID which is linked to the private keys of both the freelancer and the customer. The payment will only be released if the transaction ID matches the public keys of both users, ensuring that both parts are satisfied with the end result. This also ensures that the payouts will arrive instantly, as there is no delay on the transaction once both parties agree to release the payout.</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To ensure the security of your assets, VBR uses Cold wallets. This means that, due to the assets being held offline, they are not vulnerable to hackers or any other kind of bad actor.</w:t>
      </w:r>
    </w:p>
    <w:p>
      <w:pPr>
        <w:spacing w:before="0" w:after="24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Whenever a user would attempt making a transaction, VBR’s algorithm will check whether there is sufficient balance for the action, or not. After confirmation of the appropriate balance, VBR’s algorithm will pay automatically the amount using the platform’s wallet, while we just transfer your token local, internally back to our wallet</w:t>
      </w:r>
    </w:p>
    <w:p>
      <w:pPr>
        <w:spacing w:before="0" w:after="240" w:line="276"/>
        <w:ind w:right="0" w:left="0" w:firstLine="0"/>
        <w:jc w:val="center"/>
        <w:rPr>
          <w:rFonts w:ascii="Arial" w:hAnsi="Arial" w:cs="Arial" w:eastAsia="Arial"/>
          <w:color w:val="auto"/>
          <w:spacing w:val="0"/>
          <w:position w:val="0"/>
          <w:sz w:val="22"/>
          <w:shd w:fill="auto" w:val="clear"/>
        </w:rPr>
      </w:pPr>
    </w:p>
    <w:p>
      <w:pPr>
        <w:spacing w:before="0" w:after="24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IV. Financials</w: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1. Tokenomic model</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Upon the release of the token in Q4 2018, the company plans to make available around 15% of its’ total planned supply of tokens to the early bird investors that would have the opportunity of purchasing them at a special discounted price, while also having an early impact on the project development.</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Approximately 71% of the allocated tokens would then be globally released for Pre-ICO and ICO sales, distributing most of the shares among the members of our community. All the sales would be made available through a Smart Contract for full security.</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remaining supply would be allocated to the Founders and Team Members of VBRINC who would ensure that the invested amounts would be forwarded directly to the development of the Platform.</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commission, we will charge as little as 3%/user, for freelancing transactions, and between 0% - 2% for exchange/trading.</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part of our process for long-term raise of the token value, we will burn up to 18% of the taxes provided by the users, on our platform. In this manner, we shall bring up the value of the token in the long run, so it can become stable, and sustain the platform properly.</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Symbol: VBRT</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Total Supply: 14.000.000.000</w: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Total Public Supply: 10.000.000.000, out of which:</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Pre-ICO: 2.000.000.000</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ICO: 8.000.000.000</w: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Team, Advisors: 2.000.000.000</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Early-bird Investors: 2.000.000.000</w:t>
      </w:r>
    </w:p>
    <w:p>
      <w:pPr>
        <w:spacing w:before="0" w:after="240" w:line="276"/>
        <w:ind w:right="0" w:left="0" w:firstLine="0"/>
        <w:jc w:val="center"/>
        <w:rPr>
          <w:rFonts w:ascii="Arial" w:hAnsi="Arial" w:cs="Arial" w:eastAsia="Arial"/>
          <w:b/>
          <w:color w:val="auto"/>
          <w:spacing w:val="0"/>
          <w:position w:val="0"/>
          <w:sz w:val="22"/>
          <w:shd w:fill="auto" w:val="clear"/>
        </w:rPr>
      </w:pPr>
    </w:p>
    <w:tbl>
      <w:tblPr>
        <w:tblInd w:w="1975" w:type="dxa"/>
      </w:tblPr>
      <w:tblGrid>
        <w:gridCol w:w="1875"/>
        <w:gridCol w:w="3465"/>
      </w:tblGrid>
      <w:tr>
        <w:trPr>
          <w:trHeight w:val="260" w:hRule="auto"/>
          <w:jc w:val="left"/>
        </w:trPr>
        <w:tc>
          <w:tcPr>
            <w:tcW w:w="1875" w:type="dxa"/>
            <w:tcBorders>
              <w:top w:val="single" w:color="000000" w:sz="6"/>
              <w:left w:val="single" w:color="000000"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Tax &amp; Legal</w:t>
            </w:r>
          </w:p>
        </w:tc>
        <w:tc>
          <w:tcPr>
            <w:tcW w:w="3465" w:type="dxa"/>
            <w:tcBorders>
              <w:top w:val="single" w:color="000000" w:sz="6"/>
              <w:left w:val="single" w:color="cccccc"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8%</w:t>
            </w:r>
          </w:p>
        </w:tc>
      </w:tr>
      <w:tr>
        <w:trPr>
          <w:trHeight w:val="260" w:hRule="auto"/>
          <w:jc w:val="left"/>
        </w:trPr>
        <w:tc>
          <w:tcPr>
            <w:tcW w:w="1875" w:type="dxa"/>
            <w:tcBorders>
              <w:top w:val="single" w:color="cccccc" w:sz="6"/>
              <w:left w:val="single" w:color="000000"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Customer Service</w:t>
            </w:r>
          </w:p>
        </w:tc>
        <w:tc>
          <w:tcPr>
            <w:tcW w:w="3465" w:type="dxa"/>
            <w:tcBorders>
              <w:top w:val="single" w:color="cccccc" w:sz="6"/>
              <w:left w:val="single" w:color="cccccc"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10%</w:t>
            </w:r>
          </w:p>
        </w:tc>
      </w:tr>
      <w:tr>
        <w:trPr>
          <w:trHeight w:val="260" w:hRule="auto"/>
          <w:jc w:val="left"/>
        </w:trPr>
        <w:tc>
          <w:tcPr>
            <w:tcW w:w="1875" w:type="dxa"/>
            <w:tcBorders>
              <w:top w:val="single" w:color="cccccc" w:sz="6"/>
              <w:left w:val="single" w:color="000000"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Development</w:t>
            </w:r>
          </w:p>
        </w:tc>
        <w:tc>
          <w:tcPr>
            <w:tcW w:w="3465" w:type="dxa"/>
            <w:tcBorders>
              <w:top w:val="single" w:color="cccccc" w:sz="6"/>
              <w:left w:val="single" w:color="cccccc"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30%</w:t>
            </w:r>
          </w:p>
        </w:tc>
      </w:tr>
      <w:tr>
        <w:trPr>
          <w:trHeight w:val="260" w:hRule="auto"/>
          <w:jc w:val="left"/>
        </w:trPr>
        <w:tc>
          <w:tcPr>
            <w:tcW w:w="1875" w:type="dxa"/>
            <w:tcBorders>
              <w:top w:val="single" w:color="cccccc" w:sz="6"/>
              <w:left w:val="single" w:color="000000"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Marketing</w:t>
            </w:r>
          </w:p>
        </w:tc>
        <w:tc>
          <w:tcPr>
            <w:tcW w:w="3465" w:type="dxa"/>
            <w:tcBorders>
              <w:top w:val="single" w:color="cccccc" w:sz="6"/>
              <w:left w:val="single" w:color="cccccc" w:sz="6"/>
              <w:bottom w:val="single" w:color="000000"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20%</w:t>
            </w:r>
          </w:p>
        </w:tc>
      </w:tr>
      <w:tr>
        <w:trPr>
          <w:trHeight w:val="260" w:hRule="auto"/>
          <w:jc w:val="left"/>
        </w:trPr>
        <w:tc>
          <w:tcPr>
            <w:tcW w:w="1875" w:type="dxa"/>
            <w:tcBorders>
              <w:top w:val="single" w:color="cccccc" w:sz="6"/>
              <w:left w:val="single" w:color="000000" w:sz="6"/>
              <w:bottom w:val="single" w:color="cccccc" w:sz="6"/>
              <w:right w:val="single" w:color="000000"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Hardware</w:t>
            </w:r>
          </w:p>
        </w:tc>
        <w:tc>
          <w:tcPr>
            <w:tcW w:w="3465" w:type="dxa"/>
            <w:tcBorders>
              <w:top w:val="single" w:color="cccccc" w:sz="6"/>
              <w:left w:val="single" w:color="cccccc" w:sz="6"/>
              <w:bottom w:val="single" w:color="cccccc" w:sz="6"/>
              <w:right w:val="single" w:color="cccccc" w:sz="6"/>
            </w:tcBorders>
            <w:shd w:color="000000" w:fill="ffffff" w:val="clear"/>
            <w:tcMar>
              <w:left w:w="40" w:type="dxa"/>
              <w:right w:w="40" w:type="dxa"/>
            </w:tcMar>
            <w:vAlign w:val="center"/>
          </w:tcPr>
          <w:p>
            <w:pPr>
              <w:spacing w:before="0" w:after="240" w:line="276"/>
              <w:ind w:right="0" w:left="0" w:firstLine="0"/>
              <w:jc w:val="center"/>
              <w:rPr>
                <w:spacing w:val="0"/>
                <w:position w:val="0"/>
                <w:sz w:val="22"/>
              </w:rPr>
            </w:pPr>
            <w:r>
              <w:rPr>
                <w:rFonts w:ascii="Arial" w:hAnsi="Arial" w:cs="Arial" w:eastAsia="Arial"/>
                <w:b/>
                <w:color w:val="26241E"/>
                <w:spacing w:val="0"/>
                <w:position w:val="0"/>
                <w:sz w:val="22"/>
                <w:shd w:fill="auto" w:val="clear"/>
              </w:rPr>
              <w:t xml:space="preserve">5%</w:t>
            </w:r>
          </w:p>
        </w:tc>
      </w:tr>
    </w:tbl>
    <w:p>
      <w:pPr>
        <w:spacing w:before="0" w:after="24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object w:dxaOrig="9091" w:dyaOrig="5487">
          <v:rect xmlns:o="urn:schemas-microsoft-com:office:office" xmlns:v="urn:schemas-microsoft-com:vml" id="rectole0000000002" style="width:454.550000pt;height:274.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 Financial forecast</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********redo for UK/US/AUS markets maybe</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Statement of financial performance</w:t>
      </w:r>
    </w:p>
    <w:p>
      <w:pPr>
        <w:spacing w:before="0" w:after="16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Core revenues</w:t>
      </w:r>
      <w:r>
        <w:rPr>
          <w:rFonts w:ascii="Arial" w:hAnsi="Arial" w:cs="Arial" w:eastAsia="Arial"/>
          <w:color w:val="auto"/>
          <w:spacing w:val="0"/>
          <w:position w:val="0"/>
          <w:sz w:val="22"/>
          <w:shd w:fill="auto" w:val="clear"/>
        </w:rPr>
        <w:t xml:space="preserve"> are estimated at EUR 500k in Q4FY19, being expected to reach EUR 100m in FY21.</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Direct expenses</w:t>
      </w:r>
      <w:r>
        <w:rPr>
          <w:rFonts w:ascii="Arial" w:hAnsi="Arial" w:cs="Arial" w:eastAsia="Arial"/>
          <w:color w:val="auto"/>
          <w:spacing w:val="0"/>
          <w:position w:val="0"/>
          <w:sz w:val="22"/>
          <w:shd w:fill="auto" w:val="clear"/>
        </w:rPr>
        <w:t xml:space="preserve"> are mainly represented by salaries to employees, representing approximately 10% of total revenues at all periods. Therefore, </w:t>
      </w:r>
      <w:r>
        <w:rPr>
          <w:rFonts w:ascii="Arial" w:hAnsi="Arial" w:cs="Arial" w:eastAsia="Arial"/>
          <w:b/>
          <w:color w:val="auto"/>
          <w:spacing w:val="0"/>
          <w:position w:val="0"/>
          <w:sz w:val="22"/>
          <w:shd w:fill="auto" w:val="clear"/>
        </w:rPr>
        <w:t xml:space="preserve">gross profit</w:t>
      </w:r>
      <w:r>
        <w:rPr>
          <w:rFonts w:ascii="Arial" w:hAnsi="Arial" w:cs="Arial" w:eastAsia="Arial"/>
          <w:color w:val="auto"/>
          <w:spacing w:val="0"/>
          <w:position w:val="0"/>
          <w:sz w:val="22"/>
          <w:shd w:fill="auto" w:val="clear"/>
        </w:rPr>
        <w:t xml:space="preserve"> is expected to gravitate around 90% of turnover.</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Indirect expenses</w:t>
      </w:r>
      <w:r>
        <w:rPr>
          <w:rFonts w:ascii="Arial" w:hAnsi="Arial" w:cs="Arial" w:eastAsia="Arial"/>
          <w:color w:val="auto"/>
          <w:spacing w:val="0"/>
          <w:position w:val="0"/>
          <w:sz w:val="22"/>
          <w:shd w:fill="auto" w:val="clear"/>
        </w:rPr>
        <w:t xml:space="preserve"> represent 23% of revenues in FY19, taking into consideration certain start-up needs such as a powerful marketing. Starting FY20 they are expected to decrease, leveling around 5% of revenues.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most important indirect expenses are third party services (including legal, financial, commercial and other services), marketing, travel and transportation and entertainment. </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bank fees are expected as no bank loans are intended to be contracted.</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EBITDA</w:t>
      </w:r>
      <w:r>
        <w:rPr>
          <w:rFonts w:ascii="Arial" w:hAnsi="Arial" w:cs="Arial" w:eastAsia="Arial"/>
          <w:color w:val="auto"/>
          <w:spacing w:val="0"/>
          <w:position w:val="0"/>
          <w:sz w:val="22"/>
          <w:shd w:fill="auto" w:val="clear"/>
        </w:rPr>
        <w:t xml:space="preserve"> is expected to reach EUR 85.5m in FY21, with a 81% margin, starting from a 63% margin in FY19 due to the higher start-up costs as compared to revenues.</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Net profit</w:t>
      </w:r>
      <w:r>
        <w:rPr>
          <w:rFonts w:ascii="Arial" w:hAnsi="Arial" w:cs="Arial" w:eastAsia="Arial"/>
          <w:color w:val="auto"/>
          <w:spacing w:val="0"/>
          <w:position w:val="0"/>
          <w:sz w:val="22"/>
          <w:shd w:fill="auto" w:val="clear"/>
        </w:rPr>
        <w:t xml:space="preserve"> is expected to reach EUR 74m in FY21, with a 71% margin.</w:t>
      </w: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*****roadmap</w:t>
      </w:r>
    </w:p>
    <w:p>
      <w:pPr>
        <w:spacing w:before="0" w:after="160" w:line="276"/>
        <w:ind w:right="0" w:left="0" w:firstLine="0"/>
        <w:jc w:val="center"/>
        <w:rPr>
          <w:rFonts w:ascii="Arial" w:hAnsi="Arial" w:cs="Arial" w:eastAsia="Arial"/>
          <w:color w:val="auto"/>
          <w:spacing w:val="0"/>
          <w:position w:val="0"/>
          <w:sz w:val="22"/>
          <w:shd w:fill="auto" w:val="clear"/>
        </w:rPr>
      </w:pPr>
    </w:p>
    <w:p>
      <w:pPr>
        <w:spacing w:before="0" w:after="16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Statement of financial position</w:t>
      </w:r>
    </w:p>
    <w:p>
      <w:pPr>
        <w:spacing w:before="0" w:after="0" w:line="240"/>
        <w:ind w:right="0" w:left="0" w:firstLine="0"/>
        <w:jc w:val="center"/>
        <w:rPr>
          <w:rFonts w:ascii="Arial" w:hAnsi="Arial" w:cs="Arial" w:eastAsia="Arial"/>
          <w:b/>
          <w:color w:val="auto"/>
          <w:spacing w:val="0"/>
          <w:position w:val="0"/>
          <w:sz w:val="22"/>
          <w:shd w:fill="auto" w:val="clear"/>
        </w:rPr>
      </w:pPr>
      <w:r>
        <w:object w:dxaOrig="5487" w:dyaOrig="3522">
          <v:rect xmlns:o="urn:schemas-microsoft-com:office:office" xmlns:v="urn:schemas-microsoft-com:vml" id="rectole0000000003" style="width:274.350000pt;height:176.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Intangibles</w:t>
      </w:r>
      <w:r>
        <w:rPr>
          <w:rFonts w:ascii="Arial" w:hAnsi="Arial" w:cs="Arial" w:eastAsia="Arial"/>
          <w:color w:val="auto"/>
          <w:spacing w:val="0"/>
          <w:position w:val="0"/>
          <w:sz w:val="22"/>
          <w:shd w:fill="auto" w:val="clear"/>
        </w:rPr>
        <w:t xml:space="preserve"> mainly refer to software licenses.</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Property, plant and equipment</w:t>
      </w:r>
      <w:r>
        <w:rPr>
          <w:rFonts w:ascii="Arial" w:hAnsi="Arial" w:cs="Arial" w:eastAsia="Arial"/>
          <w:color w:val="auto"/>
          <w:spacing w:val="0"/>
          <w:position w:val="0"/>
          <w:sz w:val="22"/>
          <w:shd w:fill="auto" w:val="clear"/>
        </w:rPr>
        <w:t xml:space="preserve"> include electronic devices (laptops, desktops, monitors, TVs, mobile phones, accessories), furniture and other equipment. </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Guarantees granted</w:t>
      </w:r>
      <w:r>
        <w:rPr>
          <w:rFonts w:ascii="Arial" w:hAnsi="Arial" w:cs="Arial" w:eastAsia="Arial"/>
          <w:color w:val="auto"/>
          <w:spacing w:val="0"/>
          <w:position w:val="0"/>
          <w:sz w:val="22"/>
          <w:shd w:fill="auto" w:val="clear"/>
        </w:rPr>
        <w:t xml:space="preserve"> represent guarantees for leased spaces.</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Inventories</w:t>
      </w:r>
      <w:r>
        <w:rPr>
          <w:rFonts w:ascii="Arial" w:hAnsi="Arial" w:cs="Arial" w:eastAsia="Arial"/>
          <w:color w:val="auto"/>
          <w:spacing w:val="0"/>
          <w:position w:val="0"/>
          <w:sz w:val="22"/>
          <w:shd w:fill="auto" w:val="clear"/>
        </w:rPr>
        <w:t xml:space="preserve"> refer to small office inventories.</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Trade and other receivables</w:t>
      </w:r>
      <w:r>
        <w:rPr>
          <w:rFonts w:ascii="Arial" w:hAnsi="Arial" w:cs="Arial" w:eastAsia="Arial"/>
          <w:color w:val="auto"/>
          <w:spacing w:val="0"/>
          <w:position w:val="0"/>
          <w:sz w:val="22"/>
          <w:shd w:fill="auto" w:val="clear"/>
        </w:rPr>
        <w:t xml:space="preserve"> are null due to the fact that payments are made by clients instantly and no payment terms are granted. No receivables may occur.</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Cash and cash equivalents</w:t>
      </w:r>
      <w:r>
        <w:rPr>
          <w:rFonts w:ascii="Arial" w:hAnsi="Arial" w:cs="Arial" w:eastAsia="Arial"/>
          <w:color w:val="auto"/>
          <w:spacing w:val="0"/>
          <w:position w:val="0"/>
          <w:sz w:val="22"/>
          <w:shd w:fill="auto" w:val="clear"/>
        </w:rPr>
        <w:t xml:space="preserve"> comprise mainly bank accounts. The amounts represent the yearly gross profit, as the indirect expenses are supposed to be covered by external financing.</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Shareholder’s equity</w:t>
      </w:r>
      <w:r>
        <w:rPr>
          <w:rFonts w:ascii="Arial" w:hAnsi="Arial" w:cs="Arial" w:eastAsia="Arial"/>
          <w:color w:val="auto"/>
          <w:spacing w:val="0"/>
          <w:position w:val="0"/>
          <w:sz w:val="22"/>
          <w:shd w:fill="auto" w:val="clear"/>
        </w:rPr>
        <w:t xml:space="preserve"> mainly comprise shareholder’s funds, current year’s result, retained earnings and reserves.</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Liabilities</w:t>
      </w:r>
      <w:r>
        <w:rPr>
          <w:rFonts w:ascii="Arial" w:hAnsi="Arial" w:cs="Arial" w:eastAsia="Arial"/>
          <w:color w:val="auto"/>
          <w:spacing w:val="0"/>
          <w:position w:val="0"/>
          <w:sz w:val="22"/>
          <w:shd w:fill="auto" w:val="clear"/>
        </w:rPr>
        <w:t xml:space="preserve"> include only trade and other payables in the normal course of business. No debts to financial institutions such as bank loans, leasing or overdraft are considered.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ab/>
      </w: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16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V. The Team Behind</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Our mission is to provide the community with accuracy, objectivity and responsibility.</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FFFFFF" w:val="clear"/>
        </w:rPr>
        <w:t xml:space="preserve">No matter where we come from, a passion unites us. It teaches us to be competitive, but always collaborative and welcoming.</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FFFFFF" w:val="clear"/>
        </w:rPr>
        <w:t xml:space="preserve">Our team shares a single goal: to make </w:t>
      </w:r>
      <w:r>
        <w:rPr>
          <w:rFonts w:ascii="Arial" w:hAnsi="Arial" w:cs="Arial" w:eastAsia="Arial"/>
          <w:color w:val="000000"/>
          <w:spacing w:val="0"/>
          <w:position w:val="0"/>
          <w:sz w:val="22"/>
          <w:shd w:fill="auto" w:val="clear"/>
        </w:rPr>
        <w:t xml:space="preserve">sure everything runs as smoothly as possible, and to resolve any disputes that cannot be resolved by our secure algorithm.</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We are dedicated to offering the best customer support in the freelancing arena. In the rare occasion that our customer-facing agents cannot directly assist due to a question of a sensitive nature, even the founders will be available to help! This is the sharing economy after all; And time is something we can share with everyone.</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0" w:line="240"/>
        <w:ind w:right="0" w:left="0" w:firstLine="0"/>
        <w:jc w:val="center"/>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However, between our Smart Contracts, Cold Wallets, Exchange Platforms and Tokens, we’re quite confident that we can keep our intervention to a minimum and return the business to the creators. Yes, that means you!</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Members (everyone write their bio)</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PR/Content Developer: </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Emanuel-Cristian Lipciuc</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Hi! I joined the team because I felt the market needed to change, based on my interactions with freelancing websites while I was working on translations. As always, the fastest and most efficient way to change the world is by starting with yourself. I hope you will find as much freedom and satisfaction with VBRinc as I have!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